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重庆轨道交通九号线一期工程人防工程检测服务分包采购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补遗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各潜在投标人：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重庆轨道交通九号线一期工程人防工程检测服务分包采购</w:t>
      </w:r>
      <w:r>
        <w:rPr>
          <w:rFonts w:hint="eastAsia" w:ascii="仿宋" w:hAnsi="仿宋" w:eastAsia="仿宋" w:cs="仿宋"/>
          <w:sz w:val="32"/>
          <w:szCs w:val="32"/>
        </w:rPr>
        <w:t>作如下补遗：</w:t>
      </w:r>
    </w:p>
    <w:p>
      <w:pPr>
        <w:spacing w:line="480" w:lineRule="auto"/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第二篇投标人须知表中1.3.3条质量要求“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bidi="ar"/>
        </w:rPr>
        <w:t>符合国家、行业、重庆市相关的技术标准、规范、规程以及设计要求，规定不一致的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bidi="ar"/>
        </w:rPr>
        <w:t>以较严格的规定为准。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"/>
        </w:rPr>
        <w:t>修改为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质量要求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符合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R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FJ01-2002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、R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FJ04-2009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、重庆市相关的技术标准、规范、规程以及设计要求，规定不一致的，以最新标准为准。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”</w:t>
      </w:r>
    </w:p>
    <w:p>
      <w:pPr>
        <w:pStyle w:val="5"/>
        <w:pageBreakBefore w:val="0"/>
        <w:widowControl w:val="0"/>
        <w:tabs>
          <w:tab w:val="left" w:pos="1585"/>
        </w:tabs>
        <w:kinsoku/>
        <w:wordWrap/>
        <w:overflowPunct/>
        <w:topLinePunct w:val="0"/>
        <w:bidi w:val="0"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二、第六篇第二章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第7.7条由“7.7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ar-SA"/>
        </w:rPr>
        <w:t>未经甲方批准，乙方擅自撤离设备。一经甲方发现，则按2万元/次扣除乙方的违约金。经甲方要求，逾期1日未安装设备，则视为乙方拒绝履行本合同，甲方有权解除合同。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”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修改为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“7.7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ar-SA"/>
        </w:rPr>
        <w:t>未经甲方批准，乙方擅自撤离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正在开展检测的检测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ar-SA"/>
        </w:rPr>
        <w:t>设备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导致工期延长或者影响工程验收的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ar-SA"/>
        </w:rPr>
        <w:t>。一经甲方发现，则按2万元/次扣除乙方的违约金。经甲方要求，逾期1日未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恢复的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ar-SA"/>
        </w:rPr>
        <w:t>，则视为乙方拒绝履行本合同，甲方有权解除合同。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”</w:t>
      </w:r>
    </w:p>
    <w:p>
      <w:pPr>
        <w:pStyle w:val="5"/>
        <w:pageBreakBefore w:val="0"/>
        <w:widowControl w:val="0"/>
        <w:tabs>
          <w:tab w:val="left" w:pos="1585"/>
        </w:tabs>
        <w:kinsoku/>
        <w:wordWrap/>
        <w:overflowPunct/>
        <w:topLinePunct w:val="0"/>
        <w:bidi w:val="0"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三、第四篇中“服务部分”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修改为“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技术部分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”</w:t>
      </w:r>
    </w:p>
    <w:p>
      <w:pPr>
        <w:pStyle w:val="5"/>
        <w:pageBreakBefore w:val="0"/>
        <w:widowControl w:val="0"/>
        <w:tabs>
          <w:tab w:val="left" w:pos="1585"/>
        </w:tabs>
        <w:kinsoku/>
        <w:wordWrap/>
        <w:overflowPunct/>
        <w:topLinePunct w:val="0"/>
        <w:bidi w:val="0"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删除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“第七篇 投标文件格式二、服务文件（一）服务条款差异表”及相关要求；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删除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招标文件中对“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分项报价明细表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”的描述及要求。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五、本项目递交投标文件截止时间、开标时间修改为2021年 6月11日10时00分；投标保证金递交截止时间顺延。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本补遗通知是对之前招标文件的澄清和说明，如与之前招标文件有矛盾时，以本通知内容为准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重庆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建设工程质量监督检测中心有限公司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jc w:val="righ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 xml:space="preserve">日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cs="仿宋" w:asciiTheme="minorEastAsia" w:hAnsiTheme="minorEastAsia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65659"/>
    <w:rsid w:val="0E2974EC"/>
    <w:rsid w:val="7C9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kern w:val="2"/>
      <w:sz w:val="32"/>
    </w:rPr>
  </w:style>
  <w:style w:type="paragraph" w:styleId="5">
    <w:name w:val="List Paragraph"/>
    <w:basedOn w:val="1"/>
    <w:qFormat/>
    <w:uiPriority w:val="1"/>
    <w:pPr>
      <w:ind w:left="1918" w:firstLine="4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2021-06-04T09:25:00Z</dcterms:created>
  <dc:creator>Administrator</dc:creator>
  <cp:lastModifiedBy>平子</cp:lastModifiedBy>
  <dcterms:modified xsi:type="dcterms:W3CDTF">2021-06-07T10:25:58Z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KSOSaveFontToCloudKey">
    <vt:lpwstr>1137280314_btnclosed</vt:lpwstr>
  </property>
  <property fmtid="{D5CDD505-2E9C-101B-9397-08002B2CF9AE}" pid="4" name="ICV">
    <vt:lpwstr>EA95AB55CFB145BD8455A31F6A0C2B73</vt:lpwstr>
  </property>
</Properties>
</file>